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B5" w:rsidRDefault="00AF20B5"/>
    <w:tbl>
      <w:tblPr>
        <w:tblW w:w="9931" w:type="dxa"/>
        <w:tblLayout w:type="fixed"/>
        <w:tblCellMar>
          <w:left w:w="0" w:type="dxa"/>
          <w:right w:w="0" w:type="dxa"/>
        </w:tblCellMar>
        <w:tblLook w:val="0000" w:firstRow="0" w:lastRow="0" w:firstColumn="0" w:lastColumn="0" w:noHBand="0" w:noVBand="0"/>
      </w:tblPr>
      <w:tblGrid>
        <w:gridCol w:w="5670"/>
        <w:gridCol w:w="4261"/>
      </w:tblGrid>
      <w:tr w:rsidR="0036255E" w:rsidRPr="00137F9E" w:rsidTr="00D53D32">
        <w:tc>
          <w:tcPr>
            <w:tcW w:w="5670" w:type="dxa"/>
          </w:tcPr>
          <w:p w:rsidR="00AC7053" w:rsidRPr="00AB1912" w:rsidRDefault="00D53D32" w:rsidP="00AC7053">
            <w:pPr>
              <w:tabs>
                <w:tab w:val="clear" w:pos="170"/>
                <w:tab w:val="clear" w:pos="340"/>
                <w:tab w:val="clear" w:pos="510"/>
                <w:tab w:val="left" w:pos="1260"/>
              </w:tabs>
              <w:spacing w:line="240" w:lineRule="atLeast"/>
              <w:rPr>
                <w:rFonts w:ascii="Verdana" w:hAnsi="Verdana" w:cs="Arial"/>
                <w:sz w:val="18"/>
                <w:szCs w:val="18"/>
              </w:rPr>
            </w:pPr>
            <w:bookmarkStart w:id="0" w:name="bNaw2"/>
            <w:bookmarkStart w:id="1" w:name="bNaw3"/>
            <w:bookmarkStart w:id="2" w:name="bNaw4"/>
            <w:bookmarkStart w:id="3" w:name="bNaw5"/>
            <w:bookmarkEnd w:id="0"/>
            <w:bookmarkEnd w:id="1"/>
            <w:bookmarkEnd w:id="2"/>
            <w:bookmarkEnd w:id="3"/>
            <w:r w:rsidRPr="00AB1912">
              <w:rPr>
                <w:rFonts w:ascii="Verdana" w:hAnsi="Verdana" w:cs="Arial"/>
                <w:sz w:val="18"/>
                <w:szCs w:val="18"/>
              </w:rPr>
              <w:t xml:space="preserve">Belastingdienst/kantoor </w:t>
            </w:r>
            <w:r w:rsidR="00EC496A" w:rsidRPr="00AB1912">
              <w:rPr>
                <w:rFonts w:ascii="Verdana" w:hAnsi="Verdana" w:cs="Arial"/>
                <w:sz w:val="18"/>
                <w:szCs w:val="18"/>
              </w:rPr>
              <w:t>Heerlen</w:t>
            </w:r>
          </w:p>
          <w:p w:rsidR="00AC7053" w:rsidRPr="00AB1912" w:rsidRDefault="00AD4EA7" w:rsidP="00AC7053">
            <w:pPr>
              <w:tabs>
                <w:tab w:val="clear" w:pos="170"/>
                <w:tab w:val="clear" w:pos="340"/>
                <w:tab w:val="clear" w:pos="510"/>
                <w:tab w:val="left" w:pos="1260"/>
              </w:tabs>
              <w:spacing w:line="240" w:lineRule="atLeast"/>
              <w:rPr>
                <w:rFonts w:ascii="Verdana" w:hAnsi="Verdana" w:cs="Arial"/>
                <w:sz w:val="18"/>
                <w:szCs w:val="18"/>
              </w:rPr>
            </w:pPr>
            <w:r w:rsidRPr="00AB1912">
              <w:rPr>
                <w:rFonts w:ascii="Verdana" w:hAnsi="Verdana" w:cs="Arial"/>
                <w:sz w:val="18"/>
                <w:szCs w:val="18"/>
              </w:rPr>
              <w:t xml:space="preserve">Postbus </w:t>
            </w:r>
            <w:r w:rsidR="00EC496A" w:rsidRPr="00AB1912">
              <w:rPr>
                <w:rFonts w:ascii="Verdana" w:hAnsi="Verdana" w:cs="Arial"/>
                <w:sz w:val="18"/>
                <w:szCs w:val="18"/>
              </w:rPr>
              <w:t>2688</w:t>
            </w:r>
          </w:p>
          <w:p w:rsidR="00EE7DB4" w:rsidRPr="00AB1912" w:rsidRDefault="00EC496A" w:rsidP="00317A0B">
            <w:pPr>
              <w:tabs>
                <w:tab w:val="clear" w:pos="170"/>
                <w:tab w:val="clear" w:pos="340"/>
                <w:tab w:val="clear" w:pos="510"/>
                <w:tab w:val="left" w:pos="1117"/>
              </w:tabs>
              <w:spacing w:line="240" w:lineRule="atLeast"/>
              <w:rPr>
                <w:rFonts w:ascii="Verdana" w:hAnsi="Verdana" w:cs="Arial"/>
                <w:sz w:val="18"/>
                <w:szCs w:val="18"/>
              </w:rPr>
            </w:pPr>
            <w:r w:rsidRPr="00AB1912">
              <w:rPr>
                <w:rFonts w:ascii="Verdana" w:hAnsi="Verdana" w:cs="Arial"/>
                <w:sz w:val="18"/>
                <w:szCs w:val="18"/>
              </w:rPr>
              <w:t>6401 DD  HEERLEN</w:t>
            </w:r>
          </w:p>
          <w:p w:rsidR="00217B80" w:rsidRPr="00137F9E" w:rsidRDefault="00217B80" w:rsidP="00317A0B">
            <w:pPr>
              <w:tabs>
                <w:tab w:val="clear" w:pos="170"/>
                <w:tab w:val="clear" w:pos="340"/>
                <w:tab w:val="clear" w:pos="510"/>
                <w:tab w:val="left" w:pos="1117"/>
              </w:tabs>
              <w:spacing w:line="240" w:lineRule="atLeast"/>
              <w:rPr>
                <w:rFonts w:ascii="Verdana" w:hAnsi="Verdana"/>
                <w:szCs w:val="22"/>
              </w:rPr>
            </w:pPr>
          </w:p>
        </w:tc>
        <w:tc>
          <w:tcPr>
            <w:tcW w:w="4261" w:type="dxa"/>
          </w:tcPr>
          <w:p w:rsidR="0036255E" w:rsidRPr="00137F9E" w:rsidRDefault="0036255E" w:rsidP="00317A0B">
            <w:pPr>
              <w:tabs>
                <w:tab w:val="clear" w:pos="170"/>
                <w:tab w:val="clear" w:pos="340"/>
                <w:tab w:val="clear" w:pos="510"/>
                <w:tab w:val="left" w:pos="1117"/>
              </w:tabs>
              <w:spacing w:line="240" w:lineRule="atLeast"/>
              <w:rPr>
                <w:rFonts w:ascii="Verdana" w:hAnsi="Verdana"/>
                <w:sz w:val="14"/>
                <w:szCs w:val="14"/>
              </w:rPr>
            </w:pPr>
            <w:r w:rsidRPr="00137F9E">
              <w:rPr>
                <w:rFonts w:ascii="Verdana" w:hAnsi="Verdana"/>
                <w:sz w:val="14"/>
                <w:szCs w:val="14"/>
              </w:rPr>
              <w:tab/>
            </w:r>
          </w:p>
        </w:tc>
      </w:tr>
      <w:tr w:rsidR="00737D93" w:rsidRPr="00FB5E7E" w:rsidTr="00D53D32">
        <w:tc>
          <w:tcPr>
            <w:tcW w:w="5670" w:type="dxa"/>
          </w:tcPr>
          <w:p w:rsidR="00737D93" w:rsidRPr="00137F9E" w:rsidRDefault="00737D93" w:rsidP="00737D93">
            <w:pPr>
              <w:tabs>
                <w:tab w:val="clear" w:pos="170"/>
                <w:tab w:val="clear" w:pos="340"/>
                <w:tab w:val="clear" w:pos="510"/>
                <w:tab w:val="left" w:pos="1260"/>
              </w:tabs>
              <w:spacing w:line="240" w:lineRule="atLeast"/>
              <w:rPr>
                <w:rFonts w:ascii="Verdana" w:hAnsi="Verdana"/>
                <w:sz w:val="16"/>
                <w:szCs w:val="16"/>
              </w:rPr>
            </w:pPr>
            <w:r w:rsidRPr="00137F9E">
              <w:rPr>
                <w:rFonts w:ascii="Verdana" w:hAnsi="Verdana"/>
                <w:sz w:val="16"/>
                <w:szCs w:val="16"/>
              </w:rPr>
              <w:tab/>
            </w:r>
            <w:r w:rsidR="00FB5E7E">
              <w:rPr>
                <w:rFonts w:ascii="Verdana" w:hAnsi="Verdana"/>
                <w:sz w:val="16"/>
                <w:szCs w:val="16"/>
              </w:rPr>
              <w:t xml:space="preserve"> </w:t>
            </w:r>
          </w:p>
          <w:p w:rsidR="00737D93" w:rsidRPr="00AB1912" w:rsidRDefault="00737D93" w:rsidP="00737D93">
            <w:pPr>
              <w:tabs>
                <w:tab w:val="clear" w:pos="170"/>
                <w:tab w:val="clear" w:pos="340"/>
                <w:tab w:val="clear" w:pos="510"/>
                <w:tab w:val="left" w:pos="1260"/>
              </w:tabs>
              <w:spacing w:line="240" w:lineRule="atLeast"/>
              <w:rPr>
                <w:rFonts w:ascii="Verdana" w:hAnsi="Verdana" w:cs="Arial"/>
                <w:sz w:val="16"/>
                <w:szCs w:val="16"/>
              </w:rPr>
            </w:pPr>
            <w:r w:rsidRPr="00AB1912">
              <w:rPr>
                <w:rFonts w:ascii="Verdana" w:hAnsi="Verdana" w:cs="Arial"/>
                <w:sz w:val="16"/>
                <w:szCs w:val="16"/>
              </w:rPr>
              <w:t>Datum:</w:t>
            </w:r>
            <w:r w:rsidR="007F777B" w:rsidRPr="00AB1912">
              <w:rPr>
                <w:rFonts w:ascii="Verdana" w:hAnsi="Verdana" w:cs="Arial"/>
                <w:sz w:val="16"/>
                <w:szCs w:val="16"/>
              </w:rPr>
              <w:t xml:space="preserve">           </w:t>
            </w:r>
          </w:p>
          <w:p w:rsidR="00737D93" w:rsidRPr="00AB1912" w:rsidRDefault="00737D93" w:rsidP="00737D93">
            <w:pPr>
              <w:rPr>
                <w:rFonts w:ascii="Verdana" w:hAnsi="Verdana" w:cs="Arial"/>
              </w:rPr>
            </w:pPr>
            <w:r w:rsidRPr="00AB1912">
              <w:rPr>
                <w:rFonts w:ascii="Verdana" w:hAnsi="Verdana" w:cs="Arial"/>
                <w:sz w:val="16"/>
                <w:szCs w:val="16"/>
              </w:rPr>
              <w:t xml:space="preserve">Betreft:           </w:t>
            </w:r>
            <w:r w:rsidR="0040506D" w:rsidRPr="00AB1912">
              <w:rPr>
                <w:rFonts w:ascii="Verdana" w:eastAsiaTheme="minorHAnsi" w:hAnsi="Verdana" w:cs="Arial"/>
                <w:spacing w:val="0"/>
                <w:kern w:val="0"/>
                <w:sz w:val="16"/>
                <w:szCs w:val="16"/>
                <w:lang w:eastAsia="en-US"/>
              </w:rPr>
              <w:t>Bezwaar aanslag inkomstenbelasting 2018</w:t>
            </w:r>
            <w:r w:rsidRPr="00AB1912">
              <w:rPr>
                <w:rFonts w:ascii="Verdana" w:hAnsi="Verdana" w:cs="Arial"/>
                <w:sz w:val="16"/>
                <w:szCs w:val="16"/>
              </w:rPr>
              <w:t xml:space="preserve">                    </w:t>
            </w:r>
          </w:p>
          <w:p w:rsidR="00737D93" w:rsidRPr="00137F9E" w:rsidRDefault="00737D93" w:rsidP="00737D93">
            <w:pPr>
              <w:tabs>
                <w:tab w:val="clear" w:pos="170"/>
                <w:tab w:val="clear" w:pos="340"/>
                <w:tab w:val="clear" w:pos="510"/>
                <w:tab w:val="left" w:pos="1260"/>
              </w:tabs>
              <w:spacing w:line="240" w:lineRule="atLeast"/>
              <w:rPr>
                <w:rFonts w:ascii="Verdana" w:hAnsi="Verdana"/>
                <w:sz w:val="16"/>
                <w:szCs w:val="16"/>
              </w:rPr>
            </w:pPr>
            <w:r w:rsidRPr="00137F9E">
              <w:rPr>
                <w:rFonts w:ascii="Verdana" w:hAnsi="Verdana"/>
                <w:sz w:val="16"/>
                <w:szCs w:val="16"/>
              </w:rPr>
              <w:tab/>
            </w:r>
          </w:p>
        </w:tc>
        <w:tc>
          <w:tcPr>
            <w:tcW w:w="4261" w:type="dxa"/>
          </w:tcPr>
          <w:p w:rsidR="00737D93" w:rsidRPr="00137F9E" w:rsidRDefault="00737D93" w:rsidP="00737D93">
            <w:pPr>
              <w:tabs>
                <w:tab w:val="clear" w:pos="170"/>
                <w:tab w:val="clear" w:pos="340"/>
                <w:tab w:val="clear" w:pos="510"/>
                <w:tab w:val="left" w:pos="1162"/>
              </w:tabs>
              <w:spacing w:line="240" w:lineRule="atLeast"/>
              <w:rPr>
                <w:rFonts w:ascii="Verdana" w:hAnsi="Verdana"/>
                <w:sz w:val="16"/>
                <w:szCs w:val="16"/>
              </w:rPr>
            </w:pPr>
          </w:p>
          <w:p w:rsidR="00737D93" w:rsidRPr="00E51162" w:rsidRDefault="00737D93" w:rsidP="00D53D32">
            <w:pPr>
              <w:tabs>
                <w:tab w:val="clear" w:pos="170"/>
                <w:tab w:val="clear" w:pos="340"/>
                <w:tab w:val="clear" w:pos="510"/>
                <w:tab w:val="left" w:pos="1162"/>
              </w:tabs>
              <w:spacing w:line="240" w:lineRule="atLeast"/>
              <w:rPr>
                <w:rFonts w:ascii="Verdana" w:hAnsi="Verdana"/>
                <w:szCs w:val="22"/>
              </w:rPr>
            </w:pPr>
          </w:p>
        </w:tc>
      </w:tr>
      <w:tr w:rsidR="00D938EB" w:rsidRPr="00FB5E7E" w:rsidTr="00D53D32">
        <w:tc>
          <w:tcPr>
            <w:tcW w:w="5670" w:type="dxa"/>
          </w:tcPr>
          <w:p w:rsidR="00D938EB" w:rsidRPr="00E51162" w:rsidRDefault="00D938EB" w:rsidP="00317A0B">
            <w:pPr>
              <w:tabs>
                <w:tab w:val="clear" w:pos="170"/>
                <w:tab w:val="clear" w:pos="340"/>
                <w:tab w:val="clear" w:pos="510"/>
                <w:tab w:val="left" w:pos="1117"/>
              </w:tabs>
              <w:spacing w:line="240" w:lineRule="atLeast"/>
              <w:rPr>
                <w:rFonts w:ascii="Verdana" w:hAnsi="Verdana"/>
                <w:sz w:val="14"/>
                <w:szCs w:val="14"/>
              </w:rPr>
            </w:pPr>
          </w:p>
        </w:tc>
        <w:tc>
          <w:tcPr>
            <w:tcW w:w="4261" w:type="dxa"/>
          </w:tcPr>
          <w:p w:rsidR="00F32DFF" w:rsidRPr="00E51162" w:rsidRDefault="00F32DFF" w:rsidP="00F32DFF">
            <w:pPr>
              <w:tabs>
                <w:tab w:val="clear" w:pos="170"/>
                <w:tab w:val="clear" w:pos="340"/>
                <w:tab w:val="clear" w:pos="510"/>
                <w:tab w:val="left" w:pos="1162"/>
              </w:tabs>
              <w:spacing w:line="240" w:lineRule="atLeast"/>
              <w:rPr>
                <w:rFonts w:ascii="Verdana" w:hAnsi="Verdana"/>
                <w:sz w:val="20"/>
              </w:rPr>
            </w:pPr>
          </w:p>
        </w:tc>
      </w:tr>
    </w:tbl>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EC496A">
        <w:rPr>
          <w:rFonts w:ascii="Verdana" w:hAnsi="Verdana" w:cs="Arial"/>
          <w:color w:val="303030"/>
          <w:spacing w:val="0"/>
          <w:kern w:val="0"/>
          <w:sz w:val="18"/>
          <w:szCs w:val="18"/>
        </w:rPr>
        <w:t>Geachte heer, mevrouw,</w:t>
      </w:r>
    </w:p>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EC496A">
        <w:rPr>
          <w:rFonts w:ascii="Verdana" w:hAnsi="Verdana" w:cs="Arial"/>
          <w:color w:val="303030"/>
          <w:spacing w:val="0"/>
          <w:kern w:val="0"/>
          <w:sz w:val="18"/>
          <w:szCs w:val="18"/>
        </w:rPr>
        <w:t>Hierbij maak ik ter behoud van rechten bezwaar tegen de aanslag inkomstenbelasting premie /volksverzekeringen 2018 met aanslagnummer </w:t>
      </w:r>
      <w:r w:rsidR="007A012D" w:rsidRPr="00C30F1F">
        <w:rPr>
          <w:rFonts w:ascii="Verdana" w:hAnsi="Verdana" w:cs="Arial"/>
          <w:iCs/>
          <w:color w:val="303030"/>
          <w:spacing w:val="0"/>
          <w:kern w:val="0"/>
          <w:sz w:val="18"/>
          <w:szCs w:val="18"/>
          <w:highlight w:val="yellow"/>
        </w:rPr>
        <w:t>[aanslagnummer</w:t>
      </w:r>
      <w:r w:rsidRPr="00C30F1F">
        <w:rPr>
          <w:rFonts w:ascii="Verdana" w:hAnsi="Verdana" w:cs="Arial"/>
          <w:iCs/>
          <w:color w:val="303030"/>
          <w:spacing w:val="0"/>
          <w:kern w:val="0"/>
          <w:sz w:val="18"/>
          <w:szCs w:val="18"/>
          <w:highlight w:val="yellow"/>
        </w:rPr>
        <w:t>]</w:t>
      </w:r>
      <w:r w:rsidR="00C30F1F">
        <w:rPr>
          <w:rFonts w:ascii="Verdana" w:hAnsi="Verdana" w:cs="Arial"/>
          <w:iCs/>
          <w:color w:val="303030"/>
          <w:spacing w:val="0"/>
          <w:kern w:val="0"/>
          <w:sz w:val="18"/>
          <w:szCs w:val="18"/>
        </w:rPr>
        <w:t xml:space="preserve"> ten name van </w:t>
      </w:r>
      <w:r w:rsidR="00C30F1F" w:rsidRPr="00C30F1F">
        <w:rPr>
          <w:rFonts w:ascii="Verdana" w:hAnsi="Verdana" w:cs="Arial"/>
          <w:iCs/>
          <w:color w:val="303030"/>
          <w:spacing w:val="0"/>
          <w:kern w:val="0"/>
          <w:sz w:val="18"/>
          <w:szCs w:val="18"/>
          <w:highlight w:val="yellow"/>
        </w:rPr>
        <w:t>[</w:t>
      </w:r>
      <w:proofErr w:type="spellStart"/>
      <w:r w:rsidR="00C30F1F" w:rsidRPr="00C30F1F">
        <w:rPr>
          <w:rFonts w:ascii="Verdana" w:hAnsi="Verdana" w:cs="Arial"/>
          <w:iCs/>
          <w:color w:val="303030"/>
          <w:spacing w:val="0"/>
          <w:kern w:val="0"/>
          <w:sz w:val="18"/>
          <w:szCs w:val="18"/>
          <w:highlight w:val="yellow"/>
        </w:rPr>
        <w:t>clientnaam</w:t>
      </w:r>
      <w:proofErr w:type="spellEnd"/>
      <w:r w:rsidR="00C30F1F" w:rsidRPr="00C30F1F">
        <w:rPr>
          <w:rFonts w:ascii="Verdana" w:hAnsi="Verdana" w:cs="Arial"/>
          <w:iCs/>
          <w:color w:val="303030"/>
          <w:spacing w:val="0"/>
          <w:kern w:val="0"/>
          <w:sz w:val="18"/>
          <w:szCs w:val="18"/>
          <w:highlight w:val="yellow"/>
        </w:rPr>
        <w:t>]</w:t>
      </w:r>
      <w:bookmarkStart w:id="4" w:name="_GoBack"/>
      <w:bookmarkEnd w:id="4"/>
      <w:r w:rsidRPr="00EC496A">
        <w:rPr>
          <w:rFonts w:ascii="Verdana" w:hAnsi="Verdana" w:cs="Arial"/>
          <w:color w:val="303030"/>
          <w:spacing w:val="0"/>
          <w:kern w:val="0"/>
          <w:sz w:val="18"/>
          <w:szCs w:val="18"/>
        </w:rPr>
        <w:t>.</w:t>
      </w:r>
      <w:r w:rsidR="007A012D">
        <w:rPr>
          <w:rFonts w:ascii="Verdana" w:hAnsi="Verdana" w:cs="Arial"/>
          <w:color w:val="303030"/>
          <w:spacing w:val="0"/>
          <w:kern w:val="0"/>
          <w:sz w:val="18"/>
          <w:szCs w:val="18"/>
        </w:rPr>
        <w:t xml:space="preserve"> </w:t>
      </w:r>
      <w:r w:rsidRPr="00EC496A">
        <w:rPr>
          <w:rFonts w:ascii="Verdana" w:hAnsi="Verdana" w:cs="Arial"/>
          <w:color w:val="303030"/>
          <w:spacing w:val="0"/>
          <w:kern w:val="0"/>
          <w:sz w:val="18"/>
          <w:szCs w:val="18"/>
        </w:rPr>
        <w:t>Het bezwaar ziet op de box 3-heffing (belastbaar inkomen uit sparen en beleggen, hoofdstuk 5, Wet inkomstenbelasting 2001).</w:t>
      </w:r>
    </w:p>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AB1912">
        <w:rPr>
          <w:rFonts w:ascii="Verdana" w:hAnsi="Verdana" w:cs="Arial"/>
          <w:b/>
          <w:bCs/>
          <w:color w:val="303030"/>
          <w:spacing w:val="0"/>
          <w:kern w:val="0"/>
          <w:sz w:val="18"/>
          <w:szCs w:val="18"/>
        </w:rPr>
        <w:t>Box 3</w:t>
      </w:r>
      <w:r w:rsidR="00DD6804" w:rsidRPr="00AB1912">
        <w:rPr>
          <w:rFonts w:ascii="Verdana" w:hAnsi="Verdana" w:cs="Arial"/>
          <w:b/>
          <w:bCs/>
          <w:color w:val="303030"/>
          <w:spacing w:val="0"/>
          <w:kern w:val="0"/>
          <w:sz w:val="18"/>
          <w:szCs w:val="18"/>
        </w:rPr>
        <w:br/>
      </w:r>
      <w:r w:rsidRPr="00EC496A">
        <w:rPr>
          <w:rFonts w:ascii="Verdana" w:hAnsi="Verdana" w:cs="Arial"/>
          <w:color w:val="303030"/>
          <w:spacing w:val="0"/>
          <w:kern w:val="0"/>
          <w:sz w:val="18"/>
          <w:szCs w:val="18"/>
        </w:rPr>
        <w:t xml:space="preserve">Het box 3-systeem veronderstelt dat belastingplichtigen op hun vermogen een (fictief) rendement behalen oplopend van </w:t>
      </w:r>
      <w:r w:rsidR="000A63AD">
        <w:rPr>
          <w:rFonts w:ascii="Verdana" w:hAnsi="Verdana" w:cs="Arial"/>
          <w:color w:val="303030"/>
          <w:spacing w:val="0"/>
          <w:kern w:val="0"/>
          <w:sz w:val="18"/>
          <w:szCs w:val="18"/>
        </w:rPr>
        <w:t>2,017% tot 5,38</w:t>
      </w:r>
      <w:r w:rsidRPr="00EC496A">
        <w:rPr>
          <w:rFonts w:ascii="Verdana" w:hAnsi="Verdana" w:cs="Arial"/>
          <w:color w:val="303030"/>
          <w:spacing w:val="0"/>
          <w:kern w:val="0"/>
          <w:sz w:val="18"/>
          <w:szCs w:val="18"/>
        </w:rPr>
        <w:t>%. Over het fictieve rendement is vervolgens een heffing verschuldigd van 30%. De verschuldigde heffing staat geheel los van het daadwerkelijk behaalde rendement.</w:t>
      </w:r>
    </w:p>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AB1912">
        <w:rPr>
          <w:rFonts w:ascii="Verdana" w:hAnsi="Verdana" w:cs="Arial"/>
          <w:b/>
          <w:bCs/>
          <w:color w:val="303030"/>
          <w:spacing w:val="0"/>
          <w:kern w:val="0"/>
          <w:sz w:val="18"/>
          <w:szCs w:val="18"/>
        </w:rPr>
        <w:t>Strijd met EVRM</w:t>
      </w:r>
      <w:r w:rsidR="00DD6804" w:rsidRPr="00AB1912">
        <w:rPr>
          <w:rFonts w:ascii="Verdana" w:hAnsi="Verdana" w:cs="Arial"/>
          <w:b/>
          <w:bCs/>
          <w:color w:val="303030"/>
          <w:spacing w:val="0"/>
          <w:kern w:val="0"/>
          <w:sz w:val="18"/>
          <w:szCs w:val="18"/>
        </w:rPr>
        <w:br/>
      </w:r>
      <w:r w:rsidRPr="00EC496A">
        <w:rPr>
          <w:rFonts w:ascii="Verdana" w:hAnsi="Verdana" w:cs="Arial"/>
          <w:color w:val="303030"/>
          <w:spacing w:val="0"/>
          <w:kern w:val="0"/>
          <w:sz w:val="18"/>
          <w:szCs w:val="18"/>
        </w:rPr>
        <w:t>De heffing van box 3 drukt in dit geval veel te zwaar op het daadwerkelijk behaalde rendement op het vermogen. Hierdoor is sprake van inbreuk op het recht van eigendom; er is een ‘</w:t>
      </w:r>
      <w:proofErr w:type="spellStart"/>
      <w:r w:rsidRPr="00AB1912">
        <w:rPr>
          <w:rFonts w:ascii="Verdana" w:hAnsi="Verdana" w:cs="Arial"/>
          <w:i/>
          <w:iCs/>
          <w:color w:val="303030"/>
          <w:spacing w:val="0"/>
          <w:kern w:val="0"/>
          <w:sz w:val="18"/>
          <w:szCs w:val="18"/>
        </w:rPr>
        <w:t>excessive</w:t>
      </w:r>
      <w:proofErr w:type="spellEnd"/>
      <w:r w:rsidRPr="00AB1912">
        <w:rPr>
          <w:rFonts w:ascii="Verdana" w:hAnsi="Verdana" w:cs="Arial"/>
          <w:i/>
          <w:iCs/>
          <w:color w:val="303030"/>
          <w:spacing w:val="0"/>
          <w:kern w:val="0"/>
          <w:sz w:val="18"/>
          <w:szCs w:val="18"/>
        </w:rPr>
        <w:t xml:space="preserve"> </w:t>
      </w:r>
      <w:proofErr w:type="spellStart"/>
      <w:r w:rsidRPr="00AB1912">
        <w:rPr>
          <w:rFonts w:ascii="Verdana" w:hAnsi="Verdana" w:cs="Arial"/>
          <w:i/>
          <w:iCs/>
          <w:color w:val="303030"/>
          <w:spacing w:val="0"/>
          <w:kern w:val="0"/>
          <w:sz w:val="18"/>
          <w:szCs w:val="18"/>
        </w:rPr>
        <w:t>burden</w:t>
      </w:r>
      <w:proofErr w:type="spellEnd"/>
      <w:r w:rsidRPr="00EC496A">
        <w:rPr>
          <w:rFonts w:ascii="Verdana" w:hAnsi="Verdana" w:cs="Arial"/>
          <w:color w:val="303030"/>
          <w:spacing w:val="0"/>
          <w:kern w:val="0"/>
          <w:sz w:val="18"/>
          <w:szCs w:val="18"/>
        </w:rPr>
        <w:t>’ in de zin van artikel 1 Eerste Protocol EVRM. De belangrijkste oorzaak hiervan is dat de wetgever uitgaat van een jaarlijks fictief rendement en een dergelijk rendement is in de huidige markt nauwelijks haalbaar.</w:t>
      </w:r>
      <w:r w:rsidR="007D6A58">
        <w:rPr>
          <w:rFonts w:ascii="Verdana" w:hAnsi="Verdana" w:cs="Arial"/>
          <w:color w:val="303030"/>
          <w:spacing w:val="0"/>
          <w:kern w:val="0"/>
          <w:sz w:val="18"/>
          <w:szCs w:val="18"/>
        </w:rPr>
        <w:t xml:space="preserve"> Daarnaast is de heffing van box 3 strijdig met het discriminatieverbod van artikel 14 van het EVRM.</w:t>
      </w:r>
    </w:p>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EC496A">
        <w:rPr>
          <w:rFonts w:ascii="Verdana" w:hAnsi="Verdana" w:cs="Arial"/>
          <w:color w:val="303030"/>
          <w:spacing w:val="0"/>
          <w:kern w:val="0"/>
          <w:sz w:val="18"/>
          <w:szCs w:val="18"/>
        </w:rPr>
        <w:t>Cruciaal is dat de wetgever het fictieve rendement in het verleden (in de aanloop naar 2001) heeft verdedigd met de bewering dat hier geen tegenbewijsregeling voor in het leven hoefde te worden geroepen, omdat het fictieve rendement op een zodanig niveau is vastgesteld “</w:t>
      </w:r>
      <w:r w:rsidRPr="00AB1912">
        <w:rPr>
          <w:rFonts w:ascii="Verdana" w:hAnsi="Verdana" w:cs="Arial"/>
          <w:i/>
          <w:iCs/>
          <w:color w:val="303030"/>
          <w:spacing w:val="0"/>
          <w:kern w:val="0"/>
          <w:sz w:val="18"/>
          <w:szCs w:val="18"/>
        </w:rPr>
        <w:t>dat iedereen in staat is om, zeker indien dit over een wat langere periode wordt bezien, dit rendement zonder risico te kunnen behalen</w:t>
      </w:r>
      <w:r w:rsidRPr="00EC496A">
        <w:rPr>
          <w:rFonts w:ascii="Verdana" w:hAnsi="Verdana" w:cs="Arial"/>
          <w:color w:val="303030"/>
          <w:spacing w:val="0"/>
          <w:kern w:val="0"/>
          <w:sz w:val="18"/>
          <w:szCs w:val="18"/>
        </w:rPr>
        <w:t>” (Memorie van Toelichting, Kamerstukken 26 727, nr. 3, blz. 39). CBS cijfers tonen aan dat de gemiddelde spaarrente gedurende de jaren 2001 tot en met heden, bijna nooit hoger is geweest dan 2,35%. Het veronderstelde jaarlijkse fictieve rendement is dus niet gehaald.</w:t>
      </w:r>
    </w:p>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EC496A">
        <w:rPr>
          <w:rFonts w:ascii="Verdana" w:hAnsi="Verdana" w:cs="Arial"/>
          <w:color w:val="303030"/>
          <w:spacing w:val="0"/>
          <w:kern w:val="0"/>
          <w:sz w:val="18"/>
          <w:szCs w:val="18"/>
        </w:rPr>
        <w:t>Ik verzoek u primair de box 3-heffing te restitueren en subsidiair om de box 3-heffing te beperken tot 30% over het daadwerkelijk behaalde rendement.</w:t>
      </w:r>
    </w:p>
    <w:p w:rsidR="00EC496A" w:rsidRPr="00EC496A"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AB1912">
        <w:rPr>
          <w:rFonts w:ascii="Verdana" w:hAnsi="Verdana" w:cs="Arial"/>
          <w:b/>
          <w:bCs/>
          <w:color w:val="303030"/>
          <w:spacing w:val="0"/>
          <w:kern w:val="0"/>
          <w:sz w:val="18"/>
          <w:szCs w:val="18"/>
        </w:rPr>
        <w:t>Proefproces</w:t>
      </w:r>
      <w:r w:rsidRPr="00EC496A">
        <w:rPr>
          <w:rFonts w:ascii="Verdana" w:hAnsi="Verdana" w:cs="Arial"/>
          <w:color w:val="303030"/>
          <w:spacing w:val="0"/>
          <w:kern w:val="0"/>
          <w:sz w:val="18"/>
          <w:szCs w:val="18"/>
        </w:rPr>
        <w:br/>
        <w:t>Ik heb er geen bezwaar tegen als dit bezwaarschrift wordt aangehouden tot er een onherroepelijk vaststaande uitspraak is inzake de proefprocedure</w:t>
      </w:r>
      <w:r w:rsidR="00904174">
        <w:rPr>
          <w:rFonts w:ascii="Verdana" w:hAnsi="Verdana" w:cs="Arial"/>
          <w:color w:val="303030"/>
          <w:spacing w:val="0"/>
          <w:kern w:val="0"/>
          <w:sz w:val="18"/>
          <w:szCs w:val="18"/>
        </w:rPr>
        <w:t>s betreffende de vermogensrendementsheffing (box 3-heffing)</w:t>
      </w:r>
      <w:r w:rsidRPr="00EC496A">
        <w:rPr>
          <w:rFonts w:ascii="Verdana" w:hAnsi="Verdana" w:cs="Arial"/>
          <w:color w:val="303030"/>
          <w:spacing w:val="0"/>
          <w:kern w:val="0"/>
          <w:sz w:val="18"/>
          <w:szCs w:val="18"/>
        </w:rPr>
        <w:t>.</w:t>
      </w:r>
    </w:p>
    <w:p w:rsidR="00DD6804" w:rsidRPr="00AB1912" w:rsidRDefault="00EC496A" w:rsidP="00EC496A">
      <w:pPr>
        <w:widowControl/>
        <w:shd w:val="clear" w:color="auto" w:fill="FFFFFF"/>
        <w:tabs>
          <w:tab w:val="clear" w:pos="170"/>
          <w:tab w:val="clear" w:pos="340"/>
          <w:tab w:val="clear" w:pos="510"/>
        </w:tabs>
        <w:spacing w:before="240" w:after="240" w:line="240" w:lineRule="auto"/>
        <w:rPr>
          <w:rFonts w:ascii="Verdana" w:hAnsi="Verdana" w:cs="Arial"/>
          <w:color w:val="303030"/>
          <w:spacing w:val="0"/>
          <w:kern w:val="0"/>
          <w:sz w:val="18"/>
          <w:szCs w:val="18"/>
        </w:rPr>
      </w:pPr>
      <w:r w:rsidRPr="00EC496A">
        <w:rPr>
          <w:rFonts w:ascii="Verdana" w:hAnsi="Verdana" w:cs="Arial"/>
          <w:color w:val="303030"/>
          <w:spacing w:val="0"/>
          <w:kern w:val="0"/>
          <w:sz w:val="18"/>
          <w:szCs w:val="18"/>
        </w:rPr>
        <w:t>Ik behoud mij tevens het recht voor om dit bezwaarschrift aan te vullen met nadere feiten en motivering.</w:t>
      </w:r>
    </w:p>
    <w:p w:rsidR="00AB1912" w:rsidRPr="0009768C" w:rsidRDefault="00AB1912" w:rsidP="00AB1912">
      <w:pPr>
        <w:pStyle w:val="Geenafstand"/>
        <w:rPr>
          <w:sz w:val="18"/>
          <w:szCs w:val="18"/>
        </w:rPr>
      </w:pPr>
      <w:r w:rsidRPr="0009768C">
        <w:rPr>
          <w:sz w:val="18"/>
          <w:szCs w:val="18"/>
        </w:rPr>
        <w:t>Met vriendelijke groet,</w:t>
      </w:r>
    </w:p>
    <w:p w:rsidR="00AB1912" w:rsidRDefault="00AB1912" w:rsidP="00AB1912">
      <w:pPr>
        <w:pStyle w:val="Geenafstand"/>
        <w:rPr>
          <w:sz w:val="18"/>
          <w:szCs w:val="18"/>
        </w:rPr>
      </w:pPr>
    </w:p>
    <w:p w:rsidR="000420A7" w:rsidRPr="00DD6804" w:rsidRDefault="000420A7" w:rsidP="00AB1912">
      <w:pPr>
        <w:pStyle w:val="Geenafstand"/>
        <w:rPr>
          <w:rFonts w:cs="Arial"/>
          <w:color w:val="FF0000"/>
          <w:szCs w:val="20"/>
        </w:rPr>
      </w:pPr>
    </w:p>
    <w:sectPr w:rsidR="000420A7" w:rsidRPr="00DD6804" w:rsidSect="00C65DFB">
      <w:pgSz w:w="11906" w:h="16838" w:code="9"/>
      <w:pgMar w:top="2268" w:right="1418" w:bottom="1418"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376F9"/>
    <w:multiLevelType w:val="hybridMultilevel"/>
    <w:tmpl w:val="90B88AB2"/>
    <w:lvl w:ilvl="0" w:tplc="04130001">
      <w:start w:val="1"/>
      <w:numFmt w:val="bullet"/>
      <w:lvlText w:val=""/>
      <w:lvlJc w:val="left"/>
      <w:pPr>
        <w:tabs>
          <w:tab w:val="num" w:pos="720"/>
        </w:tabs>
        <w:ind w:left="720" w:hanging="360"/>
      </w:pPr>
      <w:rPr>
        <w:rFonts w:ascii="Symbol" w:hAnsi="Symbol" w:hint="default"/>
      </w:rPr>
    </w:lvl>
    <w:lvl w:ilvl="1" w:tplc="35300148">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readOnly" w:enforcement="0"/>
  <w:defaultTabStop w:val="708"/>
  <w:hyphenationZone w:val="425"/>
  <w:drawingGridHorizontalSpacing w:val="11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2B"/>
    <w:rsid w:val="000135A2"/>
    <w:rsid w:val="000420A7"/>
    <w:rsid w:val="00043461"/>
    <w:rsid w:val="00055224"/>
    <w:rsid w:val="000678D1"/>
    <w:rsid w:val="0009097E"/>
    <w:rsid w:val="0009442A"/>
    <w:rsid w:val="000A2E0B"/>
    <w:rsid w:val="000A63AD"/>
    <w:rsid w:val="000C6392"/>
    <w:rsid w:val="000D149A"/>
    <w:rsid w:val="000D3843"/>
    <w:rsid w:val="00112854"/>
    <w:rsid w:val="00123BBC"/>
    <w:rsid w:val="00131E6A"/>
    <w:rsid w:val="00137F9E"/>
    <w:rsid w:val="001577C9"/>
    <w:rsid w:val="00163EC8"/>
    <w:rsid w:val="001652B8"/>
    <w:rsid w:val="00166FF1"/>
    <w:rsid w:val="001702AF"/>
    <w:rsid w:val="001B71C1"/>
    <w:rsid w:val="001C1054"/>
    <w:rsid w:val="001C1F32"/>
    <w:rsid w:val="001D1061"/>
    <w:rsid w:val="001D2BC9"/>
    <w:rsid w:val="001D30DF"/>
    <w:rsid w:val="001D7A8B"/>
    <w:rsid w:val="001D7B33"/>
    <w:rsid w:val="00203EF3"/>
    <w:rsid w:val="00217B80"/>
    <w:rsid w:val="002602D4"/>
    <w:rsid w:val="00263C01"/>
    <w:rsid w:val="0026463F"/>
    <w:rsid w:val="00274AB3"/>
    <w:rsid w:val="00294646"/>
    <w:rsid w:val="002B11A9"/>
    <w:rsid w:val="002B6536"/>
    <w:rsid w:val="002B7217"/>
    <w:rsid w:val="002C1E6C"/>
    <w:rsid w:val="002E4F3E"/>
    <w:rsid w:val="002F1772"/>
    <w:rsid w:val="00317A0B"/>
    <w:rsid w:val="00347468"/>
    <w:rsid w:val="00347638"/>
    <w:rsid w:val="0036255E"/>
    <w:rsid w:val="003835F4"/>
    <w:rsid w:val="003A2D8C"/>
    <w:rsid w:val="003A5B53"/>
    <w:rsid w:val="003A79B1"/>
    <w:rsid w:val="003B1734"/>
    <w:rsid w:val="003C3B16"/>
    <w:rsid w:val="003D2171"/>
    <w:rsid w:val="003E5D62"/>
    <w:rsid w:val="003F2485"/>
    <w:rsid w:val="0040506D"/>
    <w:rsid w:val="00412D7C"/>
    <w:rsid w:val="00412DC7"/>
    <w:rsid w:val="00430E77"/>
    <w:rsid w:val="00446B96"/>
    <w:rsid w:val="00461A1F"/>
    <w:rsid w:val="00464486"/>
    <w:rsid w:val="00464C07"/>
    <w:rsid w:val="00471033"/>
    <w:rsid w:val="00480A6B"/>
    <w:rsid w:val="00486C02"/>
    <w:rsid w:val="00491811"/>
    <w:rsid w:val="004A2EF5"/>
    <w:rsid w:val="004B0AAD"/>
    <w:rsid w:val="004B43AB"/>
    <w:rsid w:val="004B5877"/>
    <w:rsid w:val="004B77FA"/>
    <w:rsid w:val="004C3DF3"/>
    <w:rsid w:val="004D06DE"/>
    <w:rsid w:val="004D6C27"/>
    <w:rsid w:val="0050142B"/>
    <w:rsid w:val="005077FD"/>
    <w:rsid w:val="00514E43"/>
    <w:rsid w:val="00521D32"/>
    <w:rsid w:val="00522E5B"/>
    <w:rsid w:val="005240A5"/>
    <w:rsid w:val="00530597"/>
    <w:rsid w:val="00547A9E"/>
    <w:rsid w:val="00553EB6"/>
    <w:rsid w:val="00587F24"/>
    <w:rsid w:val="005911B2"/>
    <w:rsid w:val="00597F95"/>
    <w:rsid w:val="005B3855"/>
    <w:rsid w:val="005D0B6E"/>
    <w:rsid w:val="005D6B46"/>
    <w:rsid w:val="005E1F3E"/>
    <w:rsid w:val="005E22C1"/>
    <w:rsid w:val="00600EB6"/>
    <w:rsid w:val="006056A1"/>
    <w:rsid w:val="00657E37"/>
    <w:rsid w:val="00671786"/>
    <w:rsid w:val="00681920"/>
    <w:rsid w:val="00685474"/>
    <w:rsid w:val="00690154"/>
    <w:rsid w:val="00691F2B"/>
    <w:rsid w:val="006A5102"/>
    <w:rsid w:val="006A7BDA"/>
    <w:rsid w:val="006C2913"/>
    <w:rsid w:val="006C365C"/>
    <w:rsid w:val="006C7A43"/>
    <w:rsid w:val="006D2B02"/>
    <w:rsid w:val="006D37AA"/>
    <w:rsid w:val="006E38FA"/>
    <w:rsid w:val="006F59FF"/>
    <w:rsid w:val="007029BD"/>
    <w:rsid w:val="00707AE3"/>
    <w:rsid w:val="00707AF1"/>
    <w:rsid w:val="00715C91"/>
    <w:rsid w:val="00716399"/>
    <w:rsid w:val="0073618B"/>
    <w:rsid w:val="00737D93"/>
    <w:rsid w:val="00743FFB"/>
    <w:rsid w:val="00762FBB"/>
    <w:rsid w:val="0077711F"/>
    <w:rsid w:val="00787A36"/>
    <w:rsid w:val="00790145"/>
    <w:rsid w:val="007929AF"/>
    <w:rsid w:val="007A012D"/>
    <w:rsid w:val="007A1EF2"/>
    <w:rsid w:val="007B01EF"/>
    <w:rsid w:val="007B17DB"/>
    <w:rsid w:val="007B2894"/>
    <w:rsid w:val="007B41E8"/>
    <w:rsid w:val="007B7D68"/>
    <w:rsid w:val="007C1012"/>
    <w:rsid w:val="007C73AE"/>
    <w:rsid w:val="007D6A58"/>
    <w:rsid w:val="007F777B"/>
    <w:rsid w:val="008073C1"/>
    <w:rsid w:val="00816B8B"/>
    <w:rsid w:val="00830DE8"/>
    <w:rsid w:val="00832364"/>
    <w:rsid w:val="00834EED"/>
    <w:rsid w:val="00841F5C"/>
    <w:rsid w:val="008757FD"/>
    <w:rsid w:val="00894251"/>
    <w:rsid w:val="008971DA"/>
    <w:rsid w:val="008A72A6"/>
    <w:rsid w:val="008B356C"/>
    <w:rsid w:val="008B524C"/>
    <w:rsid w:val="008C790C"/>
    <w:rsid w:val="008F4AF0"/>
    <w:rsid w:val="00900906"/>
    <w:rsid w:val="00901C9E"/>
    <w:rsid w:val="00901CE1"/>
    <w:rsid w:val="00904108"/>
    <w:rsid w:val="00904174"/>
    <w:rsid w:val="00913DB7"/>
    <w:rsid w:val="0091488E"/>
    <w:rsid w:val="00923283"/>
    <w:rsid w:val="00925FD3"/>
    <w:rsid w:val="009517CF"/>
    <w:rsid w:val="00953EA1"/>
    <w:rsid w:val="009572A6"/>
    <w:rsid w:val="009639F4"/>
    <w:rsid w:val="00972C55"/>
    <w:rsid w:val="00974E5B"/>
    <w:rsid w:val="00991908"/>
    <w:rsid w:val="009A7042"/>
    <w:rsid w:val="009C602D"/>
    <w:rsid w:val="009D0FBB"/>
    <w:rsid w:val="009D4F04"/>
    <w:rsid w:val="009E3B44"/>
    <w:rsid w:val="009E5872"/>
    <w:rsid w:val="009E7AAB"/>
    <w:rsid w:val="009F06BB"/>
    <w:rsid w:val="00A44509"/>
    <w:rsid w:val="00A46629"/>
    <w:rsid w:val="00A4755C"/>
    <w:rsid w:val="00A62AA2"/>
    <w:rsid w:val="00A6459B"/>
    <w:rsid w:val="00A86FF8"/>
    <w:rsid w:val="00A90255"/>
    <w:rsid w:val="00A909FA"/>
    <w:rsid w:val="00AA0389"/>
    <w:rsid w:val="00AA456A"/>
    <w:rsid w:val="00AB1912"/>
    <w:rsid w:val="00AB2E40"/>
    <w:rsid w:val="00AB446F"/>
    <w:rsid w:val="00AB7EA9"/>
    <w:rsid w:val="00AC2B89"/>
    <w:rsid w:val="00AC7053"/>
    <w:rsid w:val="00AD4190"/>
    <w:rsid w:val="00AD4EA7"/>
    <w:rsid w:val="00AD7622"/>
    <w:rsid w:val="00AE0297"/>
    <w:rsid w:val="00AE1604"/>
    <w:rsid w:val="00AF20B5"/>
    <w:rsid w:val="00B10D95"/>
    <w:rsid w:val="00B24799"/>
    <w:rsid w:val="00B37933"/>
    <w:rsid w:val="00B45A58"/>
    <w:rsid w:val="00B50A58"/>
    <w:rsid w:val="00B6767E"/>
    <w:rsid w:val="00B870F8"/>
    <w:rsid w:val="00B9408A"/>
    <w:rsid w:val="00B95DA8"/>
    <w:rsid w:val="00B97281"/>
    <w:rsid w:val="00BA2C71"/>
    <w:rsid w:val="00BA3F86"/>
    <w:rsid w:val="00BA3FD0"/>
    <w:rsid w:val="00BC1B3C"/>
    <w:rsid w:val="00BD26CE"/>
    <w:rsid w:val="00BE0239"/>
    <w:rsid w:val="00C06C98"/>
    <w:rsid w:val="00C30F1F"/>
    <w:rsid w:val="00C3131A"/>
    <w:rsid w:val="00C35A27"/>
    <w:rsid w:val="00C37499"/>
    <w:rsid w:val="00C411E1"/>
    <w:rsid w:val="00C47C73"/>
    <w:rsid w:val="00C65DFB"/>
    <w:rsid w:val="00C76917"/>
    <w:rsid w:val="00C80878"/>
    <w:rsid w:val="00C854AE"/>
    <w:rsid w:val="00C90716"/>
    <w:rsid w:val="00C97698"/>
    <w:rsid w:val="00CC04A4"/>
    <w:rsid w:val="00CC07D2"/>
    <w:rsid w:val="00CD1837"/>
    <w:rsid w:val="00CE02DF"/>
    <w:rsid w:val="00CE4FFF"/>
    <w:rsid w:val="00D00C13"/>
    <w:rsid w:val="00D23AF2"/>
    <w:rsid w:val="00D36CCD"/>
    <w:rsid w:val="00D52589"/>
    <w:rsid w:val="00D52A7C"/>
    <w:rsid w:val="00D53D32"/>
    <w:rsid w:val="00D55111"/>
    <w:rsid w:val="00D62DE5"/>
    <w:rsid w:val="00D911F4"/>
    <w:rsid w:val="00D938EB"/>
    <w:rsid w:val="00D9672F"/>
    <w:rsid w:val="00DA2FE4"/>
    <w:rsid w:val="00DC799C"/>
    <w:rsid w:val="00DD6804"/>
    <w:rsid w:val="00DD6D92"/>
    <w:rsid w:val="00DD734D"/>
    <w:rsid w:val="00DE471B"/>
    <w:rsid w:val="00DE7BDA"/>
    <w:rsid w:val="00E24BC7"/>
    <w:rsid w:val="00E45252"/>
    <w:rsid w:val="00E47E1C"/>
    <w:rsid w:val="00E51162"/>
    <w:rsid w:val="00E52DA6"/>
    <w:rsid w:val="00E57CA2"/>
    <w:rsid w:val="00E64FA2"/>
    <w:rsid w:val="00E65680"/>
    <w:rsid w:val="00E6704E"/>
    <w:rsid w:val="00EA0BF2"/>
    <w:rsid w:val="00EA1DF6"/>
    <w:rsid w:val="00EC4626"/>
    <w:rsid w:val="00EC496A"/>
    <w:rsid w:val="00ED1897"/>
    <w:rsid w:val="00EE7DB4"/>
    <w:rsid w:val="00EF0C0A"/>
    <w:rsid w:val="00EF6269"/>
    <w:rsid w:val="00EF6931"/>
    <w:rsid w:val="00F1595D"/>
    <w:rsid w:val="00F32DFF"/>
    <w:rsid w:val="00F368C1"/>
    <w:rsid w:val="00F50E16"/>
    <w:rsid w:val="00F57402"/>
    <w:rsid w:val="00F57508"/>
    <w:rsid w:val="00F81A9E"/>
    <w:rsid w:val="00F86061"/>
    <w:rsid w:val="00FA03CA"/>
    <w:rsid w:val="00FB52D0"/>
    <w:rsid w:val="00FB5E7E"/>
    <w:rsid w:val="00FC7254"/>
    <w:rsid w:val="00FE13A1"/>
    <w:rsid w:val="00FE4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524CF-8507-4276-9ECA-76D38344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255E"/>
    <w:pPr>
      <w:widowControl w:val="0"/>
      <w:tabs>
        <w:tab w:val="left" w:pos="170"/>
        <w:tab w:val="left" w:pos="340"/>
        <w:tab w:val="left" w:pos="510"/>
      </w:tabs>
      <w:spacing w:line="255" w:lineRule="atLeast"/>
    </w:pPr>
    <w:rPr>
      <w:rFonts w:ascii="Arial" w:hAnsi="Arial"/>
      <w:spacing w:val="6"/>
      <w:kern w:val="2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5911B2"/>
    <w:rPr>
      <w:b/>
      <w:bCs/>
    </w:rPr>
  </w:style>
  <w:style w:type="paragraph" w:customStyle="1" w:styleId="BasistekstVilente">
    <w:name w:val="Basistekst Vilente"/>
    <w:basedOn w:val="Standaard"/>
    <w:rsid w:val="00597F95"/>
    <w:pPr>
      <w:widowControl/>
      <w:tabs>
        <w:tab w:val="clear" w:pos="170"/>
        <w:tab w:val="clear" w:pos="340"/>
        <w:tab w:val="clear" w:pos="510"/>
      </w:tabs>
      <w:spacing w:line="260" w:lineRule="atLeast"/>
    </w:pPr>
    <w:rPr>
      <w:rFonts w:ascii="Verdana" w:hAnsi="Verdana"/>
      <w:spacing w:val="0"/>
      <w:kern w:val="0"/>
      <w:sz w:val="20"/>
      <w:lang w:eastAsia="en-US"/>
    </w:rPr>
  </w:style>
  <w:style w:type="character" w:styleId="Hyperlink">
    <w:name w:val="Hyperlink"/>
    <w:rsid w:val="00EF0C0A"/>
    <w:rPr>
      <w:color w:val="0000FF"/>
      <w:u w:val="single"/>
    </w:rPr>
  </w:style>
  <w:style w:type="character" w:styleId="GevolgdeHyperlink">
    <w:name w:val="FollowedHyperlink"/>
    <w:rsid w:val="005E1F3E"/>
    <w:rPr>
      <w:color w:val="000080"/>
      <w:u w:val="single"/>
    </w:rPr>
  </w:style>
  <w:style w:type="paragraph" w:styleId="Normaalweb">
    <w:name w:val="Normal (Web)"/>
    <w:basedOn w:val="Standaard"/>
    <w:rsid w:val="00707AE3"/>
    <w:pPr>
      <w:widowControl/>
      <w:tabs>
        <w:tab w:val="clear" w:pos="170"/>
        <w:tab w:val="clear" w:pos="340"/>
        <w:tab w:val="clear" w:pos="510"/>
      </w:tabs>
      <w:spacing w:before="100" w:beforeAutospacing="1" w:after="100" w:afterAutospacing="1" w:line="240" w:lineRule="auto"/>
    </w:pPr>
    <w:rPr>
      <w:rFonts w:ascii="Times New Roman" w:hAnsi="Times New Roman"/>
      <w:spacing w:val="0"/>
      <w:kern w:val="0"/>
      <w:sz w:val="24"/>
      <w:szCs w:val="24"/>
    </w:rPr>
  </w:style>
  <w:style w:type="paragraph" w:styleId="Documentstructuur">
    <w:name w:val="Document Map"/>
    <w:basedOn w:val="Standaard"/>
    <w:semiHidden/>
    <w:rsid w:val="00F57402"/>
    <w:pPr>
      <w:shd w:val="clear" w:color="auto" w:fill="000080"/>
    </w:pPr>
    <w:rPr>
      <w:rFonts w:ascii="Tahoma" w:hAnsi="Tahoma" w:cs="Tahoma"/>
      <w:sz w:val="20"/>
    </w:rPr>
  </w:style>
  <w:style w:type="paragraph" w:styleId="Ballontekst">
    <w:name w:val="Balloon Text"/>
    <w:basedOn w:val="Standaard"/>
    <w:semiHidden/>
    <w:rsid w:val="00471033"/>
    <w:rPr>
      <w:rFonts w:ascii="Tahoma" w:hAnsi="Tahoma" w:cs="Tahoma"/>
      <w:sz w:val="16"/>
      <w:szCs w:val="16"/>
    </w:rPr>
  </w:style>
  <w:style w:type="paragraph" w:styleId="Geenafstand">
    <w:name w:val="No Spacing"/>
    <w:uiPriority w:val="1"/>
    <w:qFormat/>
    <w:rsid w:val="00AB1912"/>
    <w:rPr>
      <w:rFonts w:ascii="Verdana" w:eastAsiaTheme="minorHAnsi" w:hAnsi="Verdana"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19">
      <w:bodyDiv w:val="1"/>
      <w:marLeft w:val="0"/>
      <w:marRight w:val="0"/>
      <w:marTop w:val="0"/>
      <w:marBottom w:val="0"/>
      <w:divBdr>
        <w:top w:val="none" w:sz="0" w:space="0" w:color="auto"/>
        <w:left w:val="none" w:sz="0" w:space="0" w:color="auto"/>
        <w:bottom w:val="none" w:sz="0" w:space="0" w:color="auto"/>
        <w:right w:val="none" w:sz="0" w:space="0" w:color="auto"/>
      </w:divBdr>
      <w:divsChild>
        <w:div w:id="1271088686">
          <w:marLeft w:val="0"/>
          <w:marRight w:val="0"/>
          <w:marTop w:val="0"/>
          <w:marBottom w:val="0"/>
          <w:divBdr>
            <w:top w:val="none" w:sz="0" w:space="0" w:color="auto"/>
            <w:left w:val="none" w:sz="0" w:space="0" w:color="auto"/>
            <w:bottom w:val="none" w:sz="0" w:space="0" w:color="auto"/>
            <w:right w:val="none" w:sz="0" w:space="0" w:color="auto"/>
          </w:divBdr>
          <w:divsChild>
            <w:div w:id="1590504626">
              <w:marLeft w:val="0"/>
              <w:marRight w:val="0"/>
              <w:marTop w:val="0"/>
              <w:marBottom w:val="0"/>
              <w:divBdr>
                <w:top w:val="none" w:sz="0" w:space="0" w:color="auto"/>
                <w:left w:val="none" w:sz="0" w:space="0" w:color="auto"/>
                <w:bottom w:val="none" w:sz="0" w:space="0" w:color="auto"/>
                <w:right w:val="none" w:sz="0" w:space="0" w:color="auto"/>
              </w:divBdr>
              <w:divsChild>
                <w:div w:id="728109980">
                  <w:marLeft w:val="0"/>
                  <w:marRight w:val="0"/>
                  <w:marTop w:val="0"/>
                  <w:marBottom w:val="0"/>
                  <w:divBdr>
                    <w:top w:val="none" w:sz="0" w:space="0" w:color="auto"/>
                    <w:left w:val="none" w:sz="0" w:space="0" w:color="auto"/>
                    <w:bottom w:val="none" w:sz="0" w:space="0" w:color="auto"/>
                    <w:right w:val="none" w:sz="0" w:space="0" w:color="auto"/>
                  </w:divBdr>
                  <w:divsChild>
                    <w:div w:id="599677042">
                      <w:marLeft w:val="0"/>
                      <w:marRight w:val="0"/>
                      <w:marTop w:val="0"/>
                      <w:marBottom w:val="0"/>
                      <w:divBdr>
                        <w:top w:val="none" w:sz="0" w:space="0" w:color="auto"/>
                        <w:left w:val="none" w:sz="0" w:space="0" w:color="auto"/>
                        <w:bottom w:val="none" w:sz="0" w:space="0" w:color="auto"/>
                        <w:right w:val="none" w:sz="0" w:space="0" w:color="auto"/>
                      </w:divBdr>
                      <w:divsChild>
                        <w:div w:id="383718135">
                          <w:marLeft w:val="0"/>
                          <w:marRight w:val="0"/>
                          <w:marTop w:val="0"/>
                          <w:marBottom w:val="0"/>
                          <w:divBdr>
                            <w:top w:val="none" w:sz="0" w:space="0" w:color="auto"/>
                            <w:left w:val="none" w:sz="0" w:space="0" w:color="auto"/>
                            <w:bottom w:val="none" w:sz="0" w:space="0" w:color="auto"/>
                            <w:right w:val="none" w:sz="0" w:space="0" w:color="auto"/>
                          </w:divBdr>
                          <w:divsChild>
                            <w:div w:id="12113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356841">
      <w:bodyDiv w:val="1"/>
      <w:marLeft w:val="0"/>
      <w:marRight w:val="0"/>
      <w:marTop w:val="0"/>
      <w:marBottom w:val="0"/>
      <w:divBdr>
        <w:top w:val="none" w:sz="0" w:space="0" w:color="auto"/>
        <w:left w:val="none" w:sz="0" w:space="0" w:color="auto"/>
        <w:bottom w:val="none" w:sz="0" w:space="0" w:color="auto"/>
        <w:right w:val="none" w:sz="0" w:space="0" w:color="auto"/>
      </w:divBdr>
    </w:div>
    <w:div w:id="17214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nen\brief%20Ruu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Ruud</Template>
  <TotalTime>0</TotalTime>
  <Pages>1</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Rechtbank Roermond</vt:lpstr>
    </vt:vector>
  </TitlesOfParts>
  <Company>Vizier</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Rechtbank Roermond</dc:title>
  <dc:subject/>
  <dc:creator>rplum</dc:creator>
  <cp:keywords/>
  <cp:lastModifiedBy>Carolien C. Arends</cp:lastModifiedBy>
  <cp:revision>2</cp:revision>
  <cp:lastPrinted>2019-06-20T07:36:00Z</cp:lastPrinted>
  <dcterms:created xsi:type="dcterms:W3CDTF">2019-07-08T11:59:00Z</dcterms:created>
  <dcterms:modified xsi:type="dcterms:W3CDTF">2019-07-08T11:59:00Z</dcterms:modified>
</cp:coreProperties>
</file>